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EC6117" w14:paraId="4D4F258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27AA7BD" w14:textId="77777777" w:rsidR="00EC6117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681D181" w14:textId="77777777" w:rsidR="00EC6117" w:rsidRDefault="00000000">
            <w:pPr>
              <w:spacing w:after="0" w:line="240" w:lineRule="auto"/>
            </w:pPr>
            <w:r>
              <w:t>27062</w:t>
            </w:r>
          </w:p>
        </w:tc>
      </w:tr>
      <w:tr w:rsidR="00EC6117" w14:paraId="1BC670A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05F291E" w14:textId="77777777" w:rsidR="00EC6117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0DB960E2" w14:textId="77777777" w:rsidR="00EC6117" w:rsidRDefault="00000000">
            <w:pPr>
              <w:spacing w:after="0" w:line="240" w:lineRule="auto"/>
            </w:pPr>
            <w:r>
              <w:t>OPĆINA GRADEC</w:t>
            </w:r>
          </w:p>
        </w:tc>
      </w:tr>
      <w:tr w:rsidR="00EC6117" w14:paraId="4F31510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6DD8DFE" w14:textId="77777777" w:rsidR="00EC6117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C9D0764" w14:textId="77777777" w:rsidR="00EC6117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31FF7C19" w14:textId="77777777" w:rsidR="00EC6117" w:rsidRDefault="00000000">
      <w:r>
        <w:br/>
      </w:r>
    </w:p>
    <w:p w14:paraId="3148A825" w14:textId="77777777" w:rsidR="00EC6117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B675DD8" w14:textId="77777777" w:rsidR="00EC6117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7880F78" w14:textId="77777777" w:rsidR="00EC6117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9C64CEE" w14:textId="77777777" w:rsidR="00EC6117" w:rsidRDefault="00EC6117"/>
    <w:p w14:paraId="6782143C" w14:textId="77777777" w:rsidR="00EC611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44F3078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141B5E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329EF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6C9476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88363A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953439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0150CA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85264E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135B0D0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0F7CA3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2D6795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EBAE67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8E4EC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1.162.156,33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710C53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1.146.133,25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F2A970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98,6</w:t>
            </w:r>
          </w:p>
        </w:tc>
      </w:tr>
      <w:tr w:rsidR="00EC6117" w14:paraId="54FF141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0E6E47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A952E3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DDB80A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EA2EEC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504.093,34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170507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637.560,33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28A999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126,5</w:t>
            </w:r>
          </w:p>
        </w:tc>
      </w:tr>
      <w:tr w:rsidR="00EC6117" w14:paraId="48AD9E4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B1C6F0" w14:textId="77777777" w:rsidR="00EC6117" w:rsidRDefault="00EC611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29BB35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FFA7CF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D59BF3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658.062,99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CC7466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508.572,92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9A2C9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77,3</w:t>
            </w:r>
          </w:p>
        </w:tc>
      </w:tr>
      <w:tr w:rsidR="00EC6117" w14:paraId="03207F6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9D180D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B08EE6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670823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B006D9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038E65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7A912F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C6117" w14:paraId="1E65C9E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C48FA0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C6B49B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0B9A17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2340E5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111.645,42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7D512F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145.934,60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A03031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130,7</w:t>
            </w:r>
          </w:p>
        </w:tc>
      </w:tr>
      <w:tr w:rsidR="00EC6117" w14:paraId="3F09C7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FE7CCD" w14:textId="77777777" w:rsidR="00EC6117" w:rsidRDefault="00EC611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06A9ED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B1C0B1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3A06BE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111.645,42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21629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145.934,60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D02435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130,7</w:t>
            </w:r>
          </w:p>
        </w:tc>
      </w:tr>
      <w:tr w:rsidR="00EC6117" w14:paraId="6AFE9FE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39D5FF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D38D0D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D6F77A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E0CF4D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7D777E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5DF14A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C6117" w14:paraId="1E839C9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48B8FB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ED5638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115E6F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60BC1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26.199,28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1C8A2F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EE0005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EC6117" w14:paraId="2289F83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1AAEA9" w14:textId="77777777" w:rsidR="00EC6117" w:rsidRDefault="00EC611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AB5B84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E2B3CA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18283F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26.199,28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CCC6E3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F6CFAE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EC6117" w14:paraId="6E1576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032933" w14:textId="77777777" w:rsidR="00EC6117" w:rsidRDefault="00EC611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50423F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0A57FC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DE2401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520.218,29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1822D0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362.638,32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FC6759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69,7</w:t>
            </w:r>
          </w:p>
        </w:tc>
      </w:tr>
    </w:tbl>
    <w:p w14:paraId="486B5828" w14:textId="77777777" w:rsidR="00EC6117" w:rsidRDefault="00EC6117">
      <w:pPr>
        <w:spacing w:after="0"/>
      </w:pPr>
    </w:p>
    <w:p w14:paraId="5921D1B8" w14:textId="77777777" w:rsidR="00EC6117" w:rsidRDefault="00000000">
      <w:pPr>
        <w:spacing w:line="240" w:lineRule="auto"/>
        <w:jc w:val="both"/>
      </w:pPr>
      <w:r>
        <w:t xml:space="preserve">Sukladno članku 105. Zakona o proračunu (NN 87/08, 136/12 i 15/15) i članku 14. Pravilnika o financijskom izvještavanju u proračunskom računovodstvu (NN 3/15, 93/15, 135/15, 2/17, 28/17, 112/18, 126/19, 145/20, 32/21, 144/21) u nastavku se daju bilješke uz Polugodišnje financijske izvještaje za 2025. godinu za Općinu Gradec u kojima se pojašnjavaju značajnije stavke financijskih izvještaja – Izvještaja o prihodima i rashodima, primicima i izdacima i Izvještaja o obvezama. Općina Gradec ima jednog proračunskog korisnika, Dječji vrtić Din-don Gradec.             Bilješke uz Izvještaj o prihodima i rashodima, primicima i izdacima za </w:t>
      </w:r>
      <w:r>
        <w:lastRenderedPageBreak/>
        <w:t>06-2025. god. sastavljene su u skladu s odredbom članka 16. Pravilnika o financijskom izvještavanju u proračunskom računovodstvu, a sadrže pojašnjenja vrijednosno značajnijih prihoda i rashoda, odnosno primitaka i izdataka te vrijednosno značajnijih odstupanja ostvarenja u odnosu na izvještajno razdoblje prethodne godine. Uvidom u izvještaj  razine 22, evidentirano je ukupno prihoda poslovanja u iznosu 1.146.133,25 – 1,40% manje nego prethodne godine, te ukupno rashoda poslovanja u iznosu od 637.560,33 – 26,50% više nego prethodne godine, čime je iskazan višak prihoda poslovanja u iznosu 508.572,92. Ukupni rashodi za nabavu nefinancijske imovine iznose 145.934,60,-30,70 % više nego prethodne godine. Višak prihoda i primitaka iznosi 362.638,32-33,60% manje  nego prethodne godine.</w:t>
      </w:r>
    </w:p>
    <w:p w14:paraId="01775BDC" w14:textId="77777777" w:rsidR="00EC6117" w:rsidRDefault="00000000">
      <w:r>
        <w:br/>
      </w:r>
    </w:p>
    <w:p w14:paraId="5B0BBC7F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018287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4B291B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74D55D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2A21A3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91D50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C6819F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77865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4241B9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838E5C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F91F56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340942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54176C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1.162.156,33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135A0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1.146.133,25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71CFE7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98,6</w:t>
            </w:r>
          </w:p>
        </w:tc>
      </w:tr>
    </w:tbl>
    <w:p w14:paraId="6E740CDF" w14:textId="77777777" w:rsidR="00EC6117" w:rsidRDefault="00EC6117">
      <w:pPr>
        <w:spacing w:after="0"/>
      </w:pPr>
    </w:p>
    <w:p w14:paraId="751ECBA2" w14:textId="77777777" w:rsidR="00EC6117" w:rsidRDefault="00000000">
      <w:pPr>
        <w:spacing w:line="240" w:lineRule="auto"/>
        <w:jc w:val="both"/>
      </w:pPr>
      <w:r>
        <w:t>Prihoda poslovanja u polugodišnjem razdoblju ostvareni su iznosu 1.146.133,25 eura – 1,40% manje u odnosu na ostvarene prihode poslovanja u polugodišnjem razdoblju 2024. godine.</w:t>
      </w:r>
    </w:p>
    <w:p w14:paraId="3976F32C" w14:textId="77777777" w:rsidR="00EC6117" w:rsidRDefault="00EC6117"/>
    <w:p w14:paraId="235BB96D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1B7CDB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E5474B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ECC0AB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A83159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79D2E9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9D1B98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388617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18FCCE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EE3782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D43F82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poreza (šifre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952A6E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898D63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389.482,74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01D71E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547.756,21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A6970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140,6</w:t>
            </w:r>
          </w:p>
        </w:tc>
      </w:tr>
    </w:tbl>
    <w:p w14:paraId="358D8783" w14:textId="77777777" w:rsidR="00EC6117" w:rsidRDefault="00EC6117">
      <w:pPr>
        <w:spacing w:after="0"/>
      </w:pPr>
    </w:p>
    <w:p w14:paraId="11948994" w14:textId="77777777" w:rsidR="00EC6117" w:rsidRDefault="00000000">
      <w:pPr>
        <w:spacing w:line="240" w:lineRule="auto"/>
        <w:jc w:val="both"/>
      </w:pPr>
      <w:r>
        <w:t>Prihodi od poreza u polugodišnjem razdoblju ostvareni su u iznosu od 547.756,21 eura što je 40,60% više u odnosu na ostvarene prihode od poreza u polugodišnjem razdoblju 2024. godine. sve kategorije poreza bilježe povećanje u promatranom razdoblju.</w:t>
      </w:r>
    </w:p>
    <w:p w14:paraId="0A6EB634" w14:textId="77777777" w:rsidR="00EC6117" w:rsidRDefault="00EC6117"/>
    <w:p w14:paraId="5450AEA6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6CBED4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8F444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CFA601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202AE9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1B0F7A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2D8533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5BD31D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64997AB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E57236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5B62A6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E45CD5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CA521D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675.685,81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BCEA3E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519.978,57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731FD9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77,0</w:t>
            </w:r>
          </w:p>
        </w:tc>
      </w:tr>
    </w:tbl>
    <w:p w14:paraId="6F055867" w14:textId="77777777" w:rsidR="00EC6117" w:rsidRDefault="00EC6117">
      <w:pPr>
        <w:spacing w:after="0"/>
      </w:pPr>
    </w:p>
    <w:p w14:paraId="3B1D61C7" w14:textId="77777777" w:rsidR="00EC6117" w:rsidRDefault="00000000">
      <w:pPr>
        <w:spacing w:line="240" w:lineRule="auto"/>
        <w:jc w:val="both"/>
      </w:pPr>
      <w:r>
        <w:t>Pomoći iz inozemstva i od subjekata unutar općeg proračuna ostvarene su u iznosu 519.978,57 eura što je 23,00% manje nego prethodne godine u promatranom razdoblju.</w:t>
      </w:r>
    </w:p>
    <w:p w14:paraId="713CDA98" w14:textId="77777777" w:rsidR="00EC6117" w:rsidRDefault="00EC6117"/>
    <w:p w14:paraId="469AE81D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3E79EE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C773C8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B191ED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381BDE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920DA2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21CE9A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FFC01E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2A2F81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AD660C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30BC98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BFCBB7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F703AC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374.473,96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54AF4E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461.091,57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D62AA9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123,1</w:t>
            </w:r>
          </w:p>
        </w:tc>
      </w:tr>
    </w:tbl>
    <w:p w14:paraId="7B940265" w14:textId="77777777" w:rsidR="00EC6117" w:rsidRDefault="00EC6117">
      <w:pPr>
        <w:spacing w:after="0"/>
      </w:pPr>
    </w:p>
    <w:p w14:paraId="782CC3DD" w14:textId="77777777" w:rsidR="00EC6117" w:rsidRDefault="00000000">
      <w:pPr>
        <w:spacing w:line="240" w:lineRule="auto"/>
        <w:jc w:val="both"/>
      </w:pPr>
      <w:r>
        <w:t>U ovom obračunskom razdoblju primljene su slijedeće tekuće pomoći – fiskalno izravnanje za potpomognuta područja:333.210,66 eura, fiskalna održivost dječjih vrtića:63.108,00 eura, za održavanje izbora:17.372,91 eura, tekuće pomoći iz županijskog proračuna za predškolski odgoj:47.400,00 eura. Ostvarene su za 23,10 % više u odnosu na prošlu godinu.</w:t>
      </w:r>
    </w:p>
    <w:p w14:paraId="6862FA22" w14:textId="77777777" w:rsidR="00EC6117" w:rsidRDefault="00EC6117"/>
    <w:p w14:paraId="3822C624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2EB35E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81A1D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AE8582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447DD4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9C114B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505E04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3364EA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6C236F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363D31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D64CA0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468F6F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F97216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9A8AE3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58.887,00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CEF896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672C561" w14:textId="77777777" w:rsidR="00EC6117" w:rsidRDefault="00EC6117">
      <w:pPr>
        <w:spacing w:after="0"/>
      </w:pPr>
    </w:p>
    <w:p w14:paraId="1C0AE864" w14:textId="77777777" w:rsidR="00EC6117" w:rsidRDefault="00000000">
      <w:pPr>
        <w:spacing w:line="240" w:lineRule="auto"/>
        <w:jc w:val="both"/>
      </w:pPr>
      <w:r>
        <w:t>Kapitalne pomoći su primljene iz županijskog proračuna za sufinanciranje kapitalnog projekta za razvoj komunalne infrastrukture u iznosu od 40.000,00 eura i za rekonstrukciju i adaptaciju sportskog objekta NK  Graničar Tučenik u iznosu od 18.887,00 eura.</w:t>
      </w:r>
    </w:p>
    <w:p w14:paraId="6982091C" w14:textId="77777777" w:rsidR="00EC6117" w:rsidRDefault="00EC6117"/>
    <w:p w14:paraId="3CA46DA2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064EC8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0EC05D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F66176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5D61E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F4061B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9AFF0C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371C8B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5793A9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662616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CFC8BF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552E69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E268FB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504.093,34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E24252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637.560,33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171529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126,5</w:t>
            </w:r>
          </w:p>
        </w:tc>
      </w:tr>
    </w:tbl>
    <w:p w14:paraId="56E4EFB7" w14:textId="77777777" w:rsidR="00EC6117" w:rsidRDefault="00EC6117">
      <w:pPr>
        <w:spacing w:after="0"/>
      </w:pPr>
    </w:p>
    <w:p w14:paraId="27CD10B4" w14:textId="77777777" w:rsidR="00EC6117" w:rsidRDefault="00000000">
      <w:pPr>
        <w:spacing w:line="240" w:lineRule="auto"/>
        <w:jc w:val="both"/>
      </w:pPr>
      <w:r>
        <w:t>RASHODI POSLOVANJA – razred 3 – iznose 26,50% više nego u prethodnoj godini odnosno 637.560,33 eura.</w:t>
      </w:r>
    </w:p>
    <w:p w14:paraId="01069F56" w14:textId="77777777" w:rsidR="00EC6117" w:rsidRDefault="00EC6117"/>
    <w:p w14:paraId="761B66D4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748009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44C2E3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F544D3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5E1BA2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56EC8C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BD7067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8E0C70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46F90D4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FDBF92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AB47D7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EFCA11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27A22D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58.085,09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85746F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74.597,43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D0A93C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128,4</w:t>
            </w:r>
          </w:p>
        </w:tc>
      </w:tr>
    </w:tbl>
    <w:p w14:paraId="5B7F5C9F" w14:textId="77777777" w:rsidR="00EC6117" w:rsidRDefault="00EC6117">
      <w:pPr>
        <w:spacing w:after="0"/>
      </w:pPr>
    </w:p>
    <w:p w14:paraId="401114F5" w14:textId="77777777" w:rsidR="00EC6117" w:rsidRDefault="00000000">
      <w:pPr>
        <w:spacing w:line="240" w:lineRule="auto"/>
        <w:jc w:val="both"/>
      </w:pPr>
      <w:r>
        <w:t xml:space="preserve">RASHODI ZA ZAPOSLENE – kontna skupina 31 - kao vrijednosno značajniji u izvještajnom razdoblju, izvršeni su u iznosu od 74.597,43 eura. odnosno 28,40% više nego prethodne godine. Na dan 30.06.2025. godine, u Općinskoj upravi je zaposleno 5 osoba (novoizabrana općinska načelnica,  bivša općinska načelnica koja koristi pravo na naknadu plaće po </w:t>
      </w:r>
      <w:r>
        <w:lastRenderedPageBreak/>
        <w:t>prestanku profesionalnog obavljanja dužnosti), 2 službenice i 1 službenik, raspoređeni u Jedinstvenom upravnom odjelu. Osim isplaćenih bruto plaća, na ovoj je kontnoj skupini evidentirana i isplata neoporezivih materijalnih prava.</w:t>
      </w:r>
    </w:p>
    <w:p w14:paraId="6A5DC2A2" w14:textId="77777777" w:rsidR="00EC6117" w:rsidRDefault="00EC6117"/>
    <w:p w14:paraId="2A00B392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0C2E96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F59F09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E3028C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E58C74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49FE95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B855B3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BC7703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5F745C1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5AAD86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BFE318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77DB79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2B7CF0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177.041,23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64BDB6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283.332,50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CE9D46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160,0</w:t>
            </w:r>
          </w:p>
        </w:tc>
      </w:tr>
    </w:tbl>
    <w:p w14:paraId="0DFD0FFC" w14:textId="77777777" w:rsidR="00EC6117" w:rsidRDefault="00EC6117">
      <w:pPr>
        <w:spacing w:after="0"/>
      </w:pPr>
    </w:p>
    <w:p w14:paraId="405AEA2C" w14:textId="77777777" w:rsidR="00EC6117" w:rsidRDefault="00000000">
      <w:pPr>
        <w:spacing w:line="240" w:lineRule="auto"/>
        <w:jc w:val="both"/>
      </w:pPr>
      <w:r>
        <w:t>MATERIJALNI RASHODI – kontna skupina 32 – 60,00%više nego prethodne godine, odnosno 283.332,50 eura. Vrijednosno najznačajniji rashod je na rashodima za usluge – kontna podskupina 323 – 188.594,79, 54,10% više nego prethodne godine, a rashodi se u najvećem dijelu odnose na tekuće i investicijsko održavanje (značajniji iznos čini održavanje nerazvrstanih cesta, održavanje javnih zelenih površina) , te intelektualne usluge. Do povećanja je došlo zbog povećanja cijena roba i usluga.</w:t>
      </w:r>
    </w:p>
    <w:p w14:paraId="7AD67997" w14:textId="77777777" w:rsidR="00EC6117" w:rsidRDefault="00EC6117"/>
    <w:p w14:paraId="11038D5F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410482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531E32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A5635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89F443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C9358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5D6B1D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310B4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5BE4078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17583B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A0C0A6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dane u inozemstvo i unutar općeg proračuna (šifre 361+362+363+365+366+367+368+369)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0B8BC0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FD30B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131.353,28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42F94F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177.011,48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6305D7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134,8</w:t>
            </w:r>
          </w:p>
        </w:tc>
      </w:tr>
    </w:tbl>
    <w:p w14:paraId="5600F08C" w14:textId="77777777" w:rsidR="00EC6117" w:rsidRDefault="00EC6117">
      <w:pPr>
        <w:spacing w:after="0"/>
      </w:pPr>
    </w:p>
    <w:p w14:paraId="7D192164" w14:textId="77777777" w:rsidR="00EC6117" w:rsidRDefault="00000000">
      <w:pPr>
        <w:spacing w:line="240" w:lineRule="auto"/>
        <w:jc w:val="both"/>
      </w:pPr>
      <w:r>
        <w:t>POMOĆI DANE U INOZEMSTVO I UNUTAR OPĆEG PRORAČUNA – kontna skupina 36 – 177.011,48, 34,80% više nego prethodne godine, a odnose se na pomoći proračunskom korisniku Dječjem vrtiću Din-don za financiranje rashoda poslovanja.</w:t>
      </w:r>
    </w:p>
    <w:p w14:paraId="4823072B" w14:textId="77777777" w:rsidR="00EC6117" w:rsidRDefault="00EC6117"/>
    <w:p w14:paraId="02D6D09F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44CBEC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0E08A1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6DCA0D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ED4316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335C89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71E0CB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C98A4F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4BCB39C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32BD98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A05D76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2E71A0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C9E755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111.645,42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BC8A6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145.934,60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16B283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130,7</w:t>
            </w:r>
          </w:p>
        </w:tc>
      </w:tr>
    </w:tbl>
    <w:p w14:paraId="4E759B75" w14:textId="77777777" w:rsidR="00EC6117" w:rsidRDefault="00EC6117">
      <w:pPr>
        <w:spacing w:after="0"/>
      </w:pPr>
    </w:p>
    <w:p w14:paraId="10D9A881" w14:textId="77777777" w:rsidR="00EC6117" w:rsidRDefault="00000000">
      <w:pPr>
        <w:spacing w:line="240" w:lineRule="auto"/>
        <w:jc w:val="both"/>
      </w:pPr>
      <w:r>
        <w:t>RASHODI ZA NABAVU NEFINANCIJSKE IMOVINE – kontni razred 4 – 145.934,60, 30,70% više nego prethodne godine. Najveći dio izvršenja odnosi se na nabavu proizvedene dugotrajne imovine (42),  (izgradnju tržnice u Gradecu i uređenje društvenih domova).</w:t>
      </w:r>
    </w:p>
    <w:p w14:paraId="09221DE8" w14:textId="77777777" w:rsidR="00EC6117" w:rsidRDefault="00EC6117"/>
    <w:p w14:paraId="7CE1F3DE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540FBB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557A66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453A27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D4AC41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11B66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E4D892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551B93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3B8F280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9DF889" w14:textId="77777777" w:rsidR="00EC6117" w:rsidRDefault="00EC611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5492F0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95BBB5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4EE345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1.455.981,59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71CA13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1.745.876,27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62060F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119,9</w:t>
            </w:r>
          </w:p>
        </w:tc>
      </w:tr>
    </w:tbl>
    <w:p w14:paraId="7E00097B" w14:textId="77777777" w:rsidR="00EC6117" w:rsidRDefault="00EC6117">
      <w:pPr>
        <w:spacing w:after="0"/>
      </w:pPr>
    </w:p>
    <w:p w14:paraId="6278AB91" w14:textId="77777777" w:rsidR="00EC6117" w:rsidRDefault="00000000">
      <w:pPr>
        <w:spacing w:line="240" w:lineRule="auto"/>
        <w:jc w:val="both"/>
      </w:pPr>
      <w:r>
        <w:t>Višak prihoda i primitaka raspoloživ u slijedećem razdoblju iznosi 1.745.876,27 eura, veći je za 19,90% u odnosu na polugodišnje razdoblje u 2024. god.</w:t>
      </w:r>
    </w:p>
    <w:p w14:paraId="4A5ACB7E" w14:textId="77777777" w:rsidR="00EC6117" w:rsidRDefault="00EC6117"/>
    <w:p w14:paraId="183D773E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C6117" w14:paraId="14DC9A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145088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621E10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282F8B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B4B858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10E16E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A53485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36FA04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0DAB7F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7926BE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D00763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B83BEE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1.419.658,94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DFE091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1.684.093,36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B702F9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118,6</w:t>
            </w:r>
          </w:p>
        </w:tc>
      </w:tr>
    </w:tbl>
    <w:p w14:paraId="3091D17D" w14:textId="77777777" w:rsidR="00EC6117" w:rsidRDefault="00EC6117">
      <w:pPr>
        <w:spacing w:after="0"/>
      </w:pPr>
    </w:p>
    <w:p w14:paraId="651E792E" w14:textId="77777777" w:rsidR="00EC6117" w:rsidRDefault="00000000">
      <w:pPr>
        <w:spacing w:line="240" w:lineRule="auto"/>
        <w:jc w:val="both"/>
      </w:pPr>
      <w:r>
        <w:t>Stanje novčanih sredstava na žiro računu i blagajni iznosi 1.684.093,36 eura i i ostvareno je više za 18,60% u odnosu na promatrano razdoblje u 2024. god.</w:t>
      </w:r>
    </w:p>
    <w:p w14:paraId="5D1BD292" w14:textId="77777777" w:rsidR="00EC6117" w:rsidRDefault="00EC6117"/>
    <w:p w14:paraId="0F6A045B" w14:textId="77777777" w:rsidR="00EC611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135DE50" w14:textId="77777777" w:rsidR="00EC6117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EC6117" w14:paraId="2B04CA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9E994D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6BEAB9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18AD8C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C6B4E4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167149" w14:textId="77777777" w:rsidR="00EC611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17" w14:paraId="34EA86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E98B8F" w14:textId="77777777" w:rsidR="00EC6117" w:rsidRDefault="00EC611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9BE643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DD4ED1" w14:textId="77777777" w:rsidR="00EC611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255D6D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7DEC98" w14:textId="77777777" w:rsidR="00EC611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441F217" w14:textId="77777777" w:rsidR="00EC6117" w:rsidRDefault="00EC6117">
      <w:pPr>
        <w:spacing w:after="0"/>
      </w:pPr>
    </w:p>
    <w:p w14:paraId="10F115C1" w14:textId="77777777" w:rsidR="00EC6117" w:rsidRDefault="00000000">
      <w:pPr>
        <w:spacing w:line="240" w:lineRule="auto"/>
        <w:jc w:val="both"/>
      </w:pPr>
      <w:r>
        <w:t>Dospjele obveze se odnose na račun iz 5.mj. komunalnom poduzeću za sanaciju odlagališta smeća u iznosu od 1.783,83 i evidentirane su kao obveze za kapitalne pomoći kreditnim i ostalim institucijama te trgovačkim društvima.  Dva računa iz 05. i 06. mj. za savjetodavne usluge iz područja civilne zaštite u iznosu od 160,00 evidentirana su kao obveze za tekuće donacije u novcu.</w:t>
      </w:r>
    </w:p>
    <w:p w14:paraId="0BDC45D6" w14:textId="77777777" w:rsidR="00EC6117" w:rsidRDefault="00EC6117"/>
    <w:sectPr w:rsidR="00EC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17"/>
    <w:rsid w:val="00467A39"/>
    <w:rsid w:val="00BD5929"/>
    <w:rsid w:val="00E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AECE"/>
  <w15:docId w15:val="{2094EF1F-9401-4120-A19F-EF1B0C24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2025-07-10T13:38:00Z</dcterms:created>
  <dcterms:modified xsi:type="dcterms:W3CDTF">2025-07-10T13:38:00Z</dcterms:modified>
</cp:coreProperties>
</file>